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14:paraId="32CD8366">
      <w:pPr>
        <w:pStyle w:val="style0"/>
        <w:ind w:left="0" w:leftChars="0" w:firstLine="0" w:firstLineChars="0"/>
        <w:jc w:val="center"/>
        <w:rPr>
          <w:rFonts w:ascii="方正小标宋简体" w:cs="方正小标宋简体" w:eastAsia="方正小标宋简体" w:hAnsi="方正小标宋简体" w:hint="eastAsia"/>
          <w:sz w:val="44"/>
          <w:szCs w:val="44"/>
        </w:rPr>
      </w:pPr>
      <w:r>
        <w:rPr>
          <w:rFonts w:ascii="方正小标宋简体" w:cs="方正小标宋简体" w:eastAsia="方正小标宋简体" w:hAnsi="方正小标宋简体" w:hint="eastAsia"/>
          <w:sz w:val="44"/>
          <w:szCs w:val="44"/>
        </w:rPr>
        <w:t>关于建立健全我镇农村生活垃圾分类处理和资源化利用长效机制的建议</w:t>
      </w:r>
    </w:p>
    <w:p w14:paraId="27062478">
      <w:pPr>
        <w:pStyle w:val="style0"/>
        <w:ind w:left="0" w:leftChars="0" w:firstLine="0" w:firstLineChars="0"/>
        <w:jc w:val="center"/>
        <w:rPr>
          <w:rFonts w:hint="eastAsia"/>
        </w:rPr>
      </w:pPr>
      <w:r>
        <w:rPr>
          <w:rFonts w:ascii="楷体_GB2312" w:cs="楷体_GB2312" w:eastAsia="楷体_GB2312" w:hAnsi="楷体_GB2312" w:hint="eastAsia"/>
          <w:lang w:val="en-US" w:eastAsia="zh-CN"/>
        </w:rPr>
        <w:t>（小牛群镇代表团    李苍健）</w:t>
      </w:r>
      <w:bookmarkStart w:id="0" w:name="_GoBack"/>
      <w:bookmarkEnd w:id="0"/>
    </w:p>
    <w:p w14:paraId="76FC176F">
      <w:pPr>
        <w:pStyle w:val="style0"/>
        <w:rPr>
          <w:rFonts w:ascii="Times New Roman" w:hAnsi="Times New Roman" w:hint="eastAsia"/>
          <w:sz w:val="32"/>
        </w:rPr>
      </w:pPr>
      <w:r>
        <w:rPr>
          <w:rFonts w:ascii="Times New Roman" w:hAnsi="Times New Roman" w:hint="eastAsia"/>
          <w:sz w:val="32"/>
        </w:rPr>
        <w:t>实施农村生活垃圾分类处理和资源化利用，是改善农村人居环境、建设生态宜居美丽乡村的关键举措，也是推进乡村振兴战略的必然要求。近年来，我镇在人居环境整治方面投入了大量精力，各村普遍配备了垃圾桶、建立了保洁队伍，村容村貌有了显著改善。然而，通过多次走访调研和与村民交谈发现，当前我镇的农村生活垃圾处理工作仍普遍停留在“集中清运、简易填埋”的初级阶段，“前端分类意识薄弱、中端混收混运、末端处理能力单一”的问题突出，未能真正实现垃圾的减量化、资源化和无害化。建立健全一套符合我镇实际、可持续运行的长效机制已刻不容缓。</w:t>
      </w:r>
    </w:p>
    <w:p w14:paraId="03A62E99">
      <w:pPr>
        <w:pStyle w:val="style0"/>
        <w:rPr>
          <w:rFonts w:ascii="Times New Roman" w:eastAsia="仿宋_GB2312" w:hAnsi="Times New Roman" w:hint="eastAsia"/>
          <w:sz w:val="32"/>
          <w:lang w:eastAsia="zh-CN"/>
        </w:rPr>
      </w:pPr>
      <w:r>
        <w:rPr>
          <w:rFonts w:ascii="Times New Roman" w:hAnsi="Times New Roman" w:hint="eastAsia"/>
          <w:sz w:val="32"/>
        </w:rPr>
        <w:t>现状与主要问题</w:t>
      </w:r>
      <w:r>
        <w:rPr>
          <w:rFonts w:ascii="Times New Roman" w:hAnsi="Times New Roman" w:hint="eastAsia"/>
          <w:sz w:val="32"/>
          <w:lang w:eastAsia="zh-CN"/>
        </w:rPr>
        <w:t>：</w:t>
      </w:r>
    </w:p>
    <w:p w14:paraId="531EEB66">
      <w:pPr>
        <w:pStyle w:val="style0"/>
        <w:rPr>
          <w:rFonts w:ascii="Times New Roman" w:hAnsi="Times New Roman" w:hint="eastAsia"/>
          <w:sz w:val="32"/>
        </w:rPr>
      </w:pPr>
      <w:r>
        <w:rPr>
          <w:rFonts w:ascii="Times New Roman" w:hAnsi="Times New Roman" w:hint="eastAsia"/>
          <w:sz w:val="32"/>
        </w:rPr>
        <w:t>1.源头分类“形式化”：虽然多数村已设置</w:t>
      </w:r>
      <w:r>
        <w:rPr>
          <w:rFonts w:ascii="Times New Roman" w:hAnsi="Times New Roman" w:hint="eastAsia"/>
          <w:sz w:val="32"/>
          <w:lang w:val="en-US" w:eastAsia="zh-CN"/>
        </w:rPr>
        <w:t>分</w:t>
      </w:r>
      <w:r>
        <w:rPr>
          <w:rFonts w:ascii="Times New Roman" w:hAnsi="Times New Roman" w:hint="eastAsia"/>
          <w:sz w:val="32"/>
        </w:rPr>
        <w:t>类垃圾桶，但村民对如何准确分类知晓率低、参与主动性不强，家中“一袋装”、门口“随意投”的现象普遍，分类桶常常沦为摆设。</w:t>
      </w:r>
    </w:p>
    <w:p w14:paraId="564042DE">
      <w:pPr>
        <w:pStyle w:val="style0"/>
        <w:rPr>
          <w:rFonts w:ascii="Times New Roman" w:hAnsi="Times New Roman" w:hint="eastAsia"/>
          <w:sz w:val="32"/>
        </w:rPr>
      </w:pPr>
      <w:r>
        <w:rPr>
          <w:rFonts w:ascii="Times New Roman" w:hAnsi="Times New Roman" w:hint="eastAsia"/>
          <w:sz w:val="32"/>
        </w:rPr>
        <w:t>2.收运过程“一锅烩”：保洁员在清运时，普遍将不同桶内的垃圾重新混合装入同一辆清运车，“先分后混”严重挫伤了村民初步分类的积极性，也造成了人力物力的浪费。</w:t>
      </w:r>
    </w:p>
    <w:p w14:paraId="3154D7F2">
      <w:pPr>
        <w:pStyle w:val="style0"/>
        <w:rPr>
          <w:rFonts w:ascii="Times New Roman" w:hAnsi="Times New Roman" w:hint="eastAsia"/>
          <w:sz w:val="32"/>
        </w:rPr>
      </w:pPr>
      <w:r>
        <w:rPr>
          <w:rFonts w:ascii="Times New Roman" w:hAnsi="Times New Roman" w:hint="eastAsia"/>
          <w:sz w:val="32"/>
        </w:rPr>
        <w:t>3.资源利用“低效化”：大量可腐烂的厨余垃圾、秸秆枝叶等有机废弃物，未能得到有效利用，与其他垃圾一同被填埋或焚烧，既占用土地资源，又未能转化为有机肥等资源。</w:t>
      </w:r>
    </w:p>
    <w:p w14:paraId="57FEBB92">
      <w:pPr>
        <w:pStyle w:val="style0"/>
        <w:rPr>
          <w:rFonts w:ascii="Times New Roman" w:hAnsi="Times New Roman" w:hint="eastAsia"/>
          <w:sz w:val="32"/>
        </w:rPr>
      </w:pPr>
      <w:r>
        <w:rPr>
          <w:rFonts w:ascii="Times New Roman" w:hAnsi="Times New Roman" w:hint="eastAsia"/>
          <w:sz w:val="32"/>
        </w:rPr>
        <w:t>4.长效机制“缺失化”：缺乏系统性的宣传引导、常态化的监督考核、可持续的资金保障以及明确的分类处理技术路线，导致工作推进依赖短期突击，成效难以巩固。</w:t>
      </w:r>
    </w:p>
    <w:p w14:paraId="7FCDEAB1">
      <w:pPr>
        <w:pStyle w:val="style0"/>
        <w:rPr>
          <w:rFonts w:ascii="Times New Roman" w:hAnsi="Times New Roman" w:hint="eastAsia"/>
          <w:sz w:val="32"/>
        </w:rPr>
      </w:pPr>
      <w:r>
        <w:rPr>
          <w:rFonts w:ascii="Times New Roman" w:hAnsi="Times New Roman" w:hint="eastAsia"/>
          <w:sz w:val="32"/>
        </w:rPr>
        <w:t>原因分析：</w:t>
      </w:r>
    </w:p>
    <w:p w14:paraId="2266B42F">
      <w:pPr>
        <w:pStyle w:val="style0"/>
        <w:rPr>
          <w:rFonts w:ascii="Times New Roman" w:hAnsi="Times New Roman" w:hint="eastAsia"/>
          <w:sz w:val="32"/>
        </w:rPr>
      </w:pPr>
      <w:r>
        <w:rPr>
          <w:rFonts w:ascii="Times New Roman" w:hAnsi="Times New Roman" w:hint="eastAsia"/>
          <w:sz w:val="32"/>
        </w:rPr>
        <w:t>究其原因，主要在于：一是宣传教育不够深入，未形成社会共识和行为习惯；二是基础设施配套不完善，缺乏专业的分类收运车辆和资源化处理设施；三是运行管理机制不健全，缺乏对保洁员队伍的有效管理和激励约束；四是资金保障主要依靠上级项目投入，镇村两级可持续投入机制未建立。</w:t>
      </w:r>
    </w:p>
    <w:p w14:paraId="256F8DA5">
      <w:pPr>
        <w:pStyle w:val="style0"/>
        <w:rPr>
          <w:rFonts w:ascii="Times New Roman" w:hAnsi="Times New Roman" w:hint="eastAsia"/>
          <w:sz w:val="32"/>
        </w:rPr>
      </w:pPr>
      <w:r>
        <w:rPr>
          <w:rFonts w:ascii="Times New Roman" w:hAnsi="Times New Roman" w:hint="eastAsia"/>
          <w:sz w:val="32"/>
        </w:rPr>
        <w:t>具体建议：</w:t>
      </w:r>
    </w:p>
    <w:p w14:paraId="749DF003">
      <w:pPr>
        <w:pStyle w:val="style0"/>
        <w:rPr>
          <w:rFonts w:ascii="Times New Roman" w:hAnsi="Times New Roman" w:hint="eastAsia"/>
          <w:sz w:val="32"/>
        </w:rPr>
      </w:pPr>
      <w:r>
        <w:rPr>
          <w:rFonts w:ascii="Times New Roman" w:hAnsi="Times New Roman" w:hint="eastAsia"/>
          <w:sz w:val="32"/>
        </w:rPr>
        <w:t>为从根本上破解“垃圾围村”难题，变废为宝，特提出以下建议，旨在构建一套“政府推动、村级主导、村民参与、市场运作”的长效管理机制：</w:t>
      </w:r>
    </w:p>
    <w:p w14:paraId="6CD60D26">
      <w:pPr>
        <w:pStyle w:val="style0"/>
        <w:rPr>
          <w:rFonts w:ascii="Times New Roman" w:hAnsi="Times New Roman" w:hint="eastAsia"/>
          <w:sz w:val="32"/>
        </w:rPr>
      </w:pPr>
      <w:r>
        <w:rPr>
          <w:rFonts w:ascii="Times New Roman" w:hAnsi="Times New Roman" w:hint="eastAsia"/>
          <w:sz w:val="32"/>
        </w:rPr>
        <w:t>农村生活垃圾分类是一项系统工程，更是一场持久战。建立健全长效机制，方能确保这项工作从“盆景”变为“风景”，从“一时美”变为“持久美”。以上建议，恳请镇政府高度重视，统筹研究部署，为我镇乡村生态振兴奠定坚实基础。</w:t>
      </w:r>
    </w:p>
    <w:p w14:paraId="0E126E47">
      <w:pPr>
        <w:pStyle w:val="style0"/>
        <w:rPr>
          <w:rFonts w:hint="eastAsia"/>
        </w:rPr>
      </w:pPr>
    </w:p>
    <w:p w14:paraId="2E87A1F3">
      <w:pPr>
        <w:pStyle w:val="style0"/>
        <w:rPr/>
      </w:pPr>
    </w:p>
    <w:sectPr>
      <w:footerReference w:type="default" r:id="rId2"/>
      <w:pgSz w:w="11906" w:h="16838" w:orient="portrait"/>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86"/>
    <w:family w:val="auto"/>
    <w:pitch w:val="default"/>
    <w:sig w:usb0="E0002EFF" w:usb1="C000785B" w:usb2="00000009" w:usb3="00000000" w:csb0="400001FF" w:csb1="FFFF0000"/>
  </w:font>
  <w:font w:name="宋体">
    <w:altName w:val="宋体"/>
    <w:panose1 w:val="02010600030001010101"/>
    <w:charset w:val="88"/>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EFF" w:usb1="C000785B"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E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E4002EFF" w:usb1="C000247B" w:usb2="00000009" w:usb3="00000000" w:csb0="200001FF" w:csb1="00000000"/>
  </w:font>
  <w:font w:name="仿宋_GB2312">
    <w:altName w:val="仿宋_GB2312"/>
    <w:panose1 w:val="02010609030001010101"/>
    <w:charset w:val="86"/>
    <w:family w:val="auto"/>
    <w:pitch w:val="default"/>
    <w:sig w:usb0="00000001" w:usb1="080E0000" w:usb2="00000000" w:usb3="00000000" w:csb0="00040000" w:csb1="00000000"/>
  </w:font>
  <w:font w:name="方正小标宋简体">
    <w:altName w:val="方正小标宋简体"/>
    <w:panose1 w:val="02010601030001010101"/>
    <w:charset w:val="86"/>
    <w:family w:val="script"/>
    <w:pitch w:val="default"/>
    <w:sig w:usb0="00000001" w:usb1="080E0000" w:usb2="00000000" w:usb3="00000000" w:csb0="00040000" w:csb1="00000000"/>
  </w:font>
  <w:font w:name="楷体_GB2312">
    <w:altName w:val="楷体_GB2312"/>
    <w:panose1 w:val="02010609030001010101"/>
    <w:charset w:val="86"/>
    <w:family w:val="auto"/>
    <w:pitch w:val="default"/>
    <w:sig w:usb0="00000001" w:usb1="080E0000" w:usb2="00000000" w:usb3="00000000" w:csb0="00040000" w:csb1="00000000"/>
  </w:font>
  <w:font w:name="仿宋">
    <w:altName w:val="仿宋"/>
    <w:panose1 w:val="02010609060001010101"/>
    <w:charset w:val="86"/>
    <w:family w:val="auto"/>
    <w:pitch w:val="default"/>
    <w:sig w:usb0="800002BF" w:usb1="38CF7CFA" w:usb2="00000016" w:usb3="00000000" w:csb0="00040001" w:csb1="00000000"/>
  </w:font>
</w:fonts>
</file>

<file path=word/footer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71396885">
    <w:pPr>
      <w:pStyle w:val="style32"/>
      <w:rPr/>
    </w:pPr>
    <w:r>
      <w:rPr>
        <w:sz w:val="18"/>
      </w:rPr>
      <mc:AlternateContent>
        <mc:Choice Requires="wps">
          <w:drawing>
            <wp:anchor distT="0" distB="0" distL="0" distR="0" simplePos="false" relativeHeight="2" behindDoc="false" locked="false" layoutInCell="true" allowOverlap="true">
              <wp:simplePos x="0" y="0"/>
              <wp:positionH relativeFrom="margin">
                <wp:align>center</wp:align>
              </wp:positionH>
              <wp:positionV relativeFrom="paragraph">
                <wp:posOffset>0</wp:posOffset>
              </wp:positionV>
              <wp:extent cx="1828800" cy="1828800"/>
              <wp:effectExtent l="0" t="0" r="0" b="0"/>
              <wp:wrapNone/>
              <wp:docPr id="4097" name="文本框 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828800" cy="1828800"/>
                      </a:xfrm>
                      <a:prstGeom prst="rect"/>
                      <a:ln>
                        <a:noFill/>
                      </a:ln>
                    </wps:spPr>
                    <wps:txbx id="4097">
                      <w:txbxContent>
                        <w:p w14:paraId="260BF870">
                          <w:pPr>
                            <w:pStyle w:val="style32"/>
                            <w:rPr>
                              <w:sz w:val="24"/>
                              <w:szCs w:val="40"/>
                            </w:rPr>
                          </w:pPr>
                          <w:r>
                            <w:rPr>
                              <w:sz w:val="24"/>
                              <w:szCs w:val="40"/>
                            </w:rPr>
                            <w:t xml:space="preserve">— </w:t>
                          </w:r>
                          <w:r>
                            <w:rPr>
                              <w:sz w:val="24"/>
                              <w:szCs w:val="40"/>
                            </w:rPr>
                            <w:fldChar w:fldCharType="begin"/>
                          </w:r>
                          <w:r>
                            <w:rPr>
                              <w:sz w:val="24"/>
                              <w:szCs w:val="40"/>
                            </w:rPr>
                            <w:instrText xml:space="preserve"> PAGE  \* MERGEFORMAT </w:instrText>
                          </w:r>
                          <w:r>
                            <w:rPr>
                              <w:sz w:val="24"/>
                              <w:szCs w:val="40"/>
                            </w:rPr>
                            <w:fldChar w:fldCharType="separate"/>
                          </w:r>
                          <w:r>
                            <w:rPr>
                              <w:sz w:val="24"/>
                              <w:szCs w:val="40"/>
                            </w:rPr>
                            <w:t>1</w:t>
                          </w:r>
                          <w:r>
                            <w:rPr>
                              <w:sz w:val="24"/>
                              <w:szCs w:val="40"/>
                            </w:rPr>
                            <w:fldChar w:fldCharType="end"/>
                          </w:r>
                          <w:r>
                            <w:rPr>
                              <w:sz w:val="24"/>
                              <w:szCs w:val="40"/>
                            </w:rPr>
                            <w:t xml:space="preserve"> —</w:t>
                          </w:r>
                        </w:p>
                      </w:txbxContent>
                    </wps:txbx>
                    <wps:bodyPr lIns="0" rIns="0" tIns="0" bIns="0" vert="horz" anchor="t" wrap="none" upright="false">
                      <a:prstTxWarp prst="textNoShape"/>
                      <a:spAutoFit/>
                    </wps:bodyPr>
                  </wps:wsp>
                </a:graphicData>
              </a:graphic>
            </wp:anchor>
          </w:drawing>
        </mc:Choice>
        <mc:Fallback>
          <w:pict>
            <v:rect id="4097" filled="f" stroked="f" style="position:absolute;margin-left:0.0pt;margin-top:0.0pt;width:144.0pt;height:144.0pt;z-index:2;mso-position-horizontal:center;mso-position-horizontal-relative:margin;mso-position-vertical-relative:text;mso-width-relative:page;mso-height-relative:page;mso-wrap-distance-left:0.0pt;mso-wrap-distance-right:0.0pt;visibility:visible;mso-wrap-style:none;">
              <v:stroke on="f" weight="0.5pt"/>
              <v:fill/>
              <v:textbox inset="0.0pt,0.0pt,0.0pt,0.0pt" style="mso-fit-shape-to-text:true;">
                <w:txbxContent>
                  <w:p w14:paraId="260BF870">
                    <w:pPr>
                      <w:pStyle w:val="style32"/>
                      <w:rPr>
                        <w:sz w:val="24"/>
                        <w:szCs w:val="40"/>
                      </w:rPr>
                    </w:pPr>
                    <w:r>
                      <w:rPr>
                        <w:sz w:val="24"/>
                        <w:szCs w:val="40"/>
                      </w:rPr>
                      <w:t xml:space="preserve">— </w:t>
                    </w:r>
                    <w:r>
                      <w:rPr>
                        <w:sz w:val="24"/>
                        <w:szCs w:val="40"/>
                      </w:rPr>
                      <w:fldChar w:fldCharType="begin"/>
                    </w:r>
                    <w:r>
                      <w:rPr>
                        <w:sz w:val="24"/>
                        <w:szCs w:val="40"/>
                      </w:rPr>
                      <w:instrText xml:space="preserve"> PAGE  \* MERGEFORMAT </w:instrText>
                    </w:r>
                    <w:r>
                      <w:rPr>
                        <w:sz w:val="24"/>
                        <w:szCs w:val="40"/>
                      </w:rPr>
                      <w:fldChar w:fldCharType="separate"/>
                    </w:r>
                    <w:r>
                      <w:rPr>
                        <w:sz w:val="24"/>
                        <w:szCs w:val="40"/>
                      </w:rPr>
                      <w:t>1</w:t>
                    </w:r>
                    <w:r>
                      <w:rPr>
                        <w:sz w:val="24"/>
                        <w:szCs w:val="40"/>
                      </w:rPr>
                      <w:fldChar w:fldCharType="end"/>
                    </w:r>
                    <w:r>
                      <w:rPr>
                        <w:sz w:val="24"/>
                        <w:szCs w:val="40"/>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embedSystemFonts/>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rPr>
    </w:rPrDefault>
    <w:pPrDefault>
      <w:pPr/>
    </w:pPrDefault>
  </w:docDefaults>
  <w:style w:type="paragraph" w:default="1" w:styleId="style0">
    <w:name w:val="Normal"/>
    <w:next w:val="style0"/>
    <w:qFormat/>
    <w:uiPriority w:val="0"/>
    <w:pPr>
      <w:widowControl w:val="false"/>
      <w:spacing w:lineRule="exact" w:line="560"/>
      <w:ind w:firstLine="880" w:firstLineChars="200"/>
      <w:jc w:val="both"/>
    </w:pPr>
    <w:rPr>
      <w:rFonts w:ascii="Calibri" w:cs="宋体" w:eastAsia="仿宋_GB2312" w:hAnsi="Calibri"/>
      <w:kern w:val="2"/>
      <w:sz w:val="32"/>
      <w:szCs w:val="24"/>
      <w:lang w:val="en-US" w:bidi="ar-SA" w:eastAsia="zh-CN"/>
    </w:rPr>
  </w:style>
  <w:style w:type="paragraph" w:styleId="style1">
    <w:name w:val="heading 1"/>
    <w:basedOn w:val="style0"/>
    <w:next w:val="style0"/>
    <w:qFormat/>
    <w:uiPriority w:val="0"/>
    <w:pPr>
      <w:keepNext/>
      <w:keepLines/>
      <w:spacing w:before="340" w:beforeAutospacing="false" w:after="330" w:afterAutospacing="false" w:lineRule="exact" w:line="600"/>
      <w:outlineLvl w:val="0"/>
    </w:pPr>
    <w:rPr>
      <w:rFonts w:eastAsia="方正小标宋简体"/>
      <w:kern w:val="44"/>
      <w:sz w:val="44"/>
    </w:rPr>
  </w:style>
  <w:style w:type="paragraph" w:styleId="style2">
    <w:name w:val="heading 2"/>
    <w:basedOn w:val="style0"/>
    <w:next w:val="style0"/>
    <w:qFormat/>
    <w:uiPriority w:val="0"/>
    <w:pPr>
      <w:keepNext/>
      <w:keepLines/>
      <w:spacing w:before="260" w:beforeAutospacing="false" w:after="260" w:afterAutospacing="false" w:lineRule="auto" w:line="413"/>
      <w:outlineLvl w:val="1"/>
    </w:pPr>
    <w:rPr>
      <w:rFonts w:ascii="Arial" w:eastAsia="黑体" w:hAnsi="Arial"/>
    </w:rPr>
  </w:style>
  <w:style w:type="paragraph" w:styleId="style3">
    <w:name w:val="heading 3"/>
    <w:basedOn w:val="style0"/>
    <w:next w:val="style0"/>
    <w:qFormat/>
    <w:uiPriority w:val="0"/>
    <w:pPr>
      <w:keepNext/>
      <w:keepLines/>
      <w:spacing w:before="260" w:beforeAutospacing="false" w:after="260" w:afterAutospacing="false" w:lineRule="auto" w:line="413"/>
      <w:outlineLvl w:val="2"/>
    </w:pPr>
    <w:rPr>
      <w:rFonts w:eastAsia="楷体_GB2312"/>
    </w:rPr>
  </w:style>
  <w:style w:type="paragraph" w:styleId="style4">
    <w:name w:val="heading 4"/>
    <w:basedOn w:val="style0"/>
    <w:next w:val="style0"/>
    <w:qFormat/>
    <w:uiPriority w:val="0"/>
    <w:pPr>
      <w:keepNext/>
      <w:keepLines/>
      <w:spacing w:before="280" w:beforeAutospacing="false" w:after="290" w:afterAutospacing="false" w:lineRule="auto" w:line="372"/>
      <w:outlineLvl w:val="3"/>
    </w:pPr>
    <w:rPr>
      <w:rFonts w:ascii="Arial" w:eastAsia="仿宋_GB2312" w:hAnsi="Arial"/>
      <w:b/>
      <w:sz w:val="32"/>
    </w:rPr>
  </w:style>
  <w:style w:type="character" w:default="1" w:styleId="style65">
    <w:name w:val="Default Paragraph Font"/>
    <w:next w:val="style65"/>
    <w:qFormat/>
    <w:uiPriority w:val="0"/>
  </w:style>
  <w:style w:type="table" w:default="1" w:styleId="style105">
    <w:name w:val="Normal Table"/>
    <w:next w:val="style105"/>
    <w:qFormat/>
    <w:uiPriority w:val="0"/>
    <w:pPr/>
    <w:rPr/>
    <w:tblPr>
      <w:tblCellMar>
        <w:top w:w="0" w:type="dxa"/>
        <w:left w:w="108" w:type="dxa"/>
        <w:bottom w:w="0" w:type="dxa"/>
        <w:right w:w="108" w:type="dxa"/>
      </w:tblCellMar>
    </w:tblPr>
    <w:tcPr>
      <w:tcBorders/>
    </w:tcPr>
  </w:style>
  <w:style w:type="paragraph" w:styleId="style32">
    <w:name w:val="footer"/>
    <w:basedOn w:val="style0"/>
    <w:next w:val="style32"/>
    <w:qFormat/>
    <w:uiPriority w:val="0"/>
    <w:pPr>
      <w:tabs>
        <w:tab w:val="center" w:leader="none" w:pos="4153"/>
        <w:tab w:val="right" w:leader="none" w:pos="8306"/>
      </w:tabs>
      <w:snapToGrid w:val="false"/>
      <w:jc w:val="left"/>
    </w:pPr>
    <w:rPr>
      <w:sz w:val="18"/>
    </w:rPr>
  </w:style>
  <w:style w:type="paragraph" w:styleId="style31">
    <w:name w:val="header"/>
    <w:basedOn w:val="style0"/>
    <w:next w:val="style31"/>
    <w:qFormat/>
    <w:uiPriority w:val="0"/>
    <w:pPr>
      <w:pBdr>
        <w:left w:val="none" w:sz="0" w:space="4" w:color="auto"/>
        <w:right w:val="none" w:sz="0" w:space="4" w:color="auto"/>
        <w:top w:val="none" w:sz="0" w:space="1" w:color="auto"/>
        <w:bottom w:val="none" w:sz="0" w:space="1" w:color="auto"/>
      </w:pBdr>
      <w:tabs>
        <w:tab w:val="center" w:leader="none" w:pos="4153"/>
        <w:tab w:val="right" w:leader="none" w:pos="8306"/>
      </w:tabs>
      <w:snapToGrid w:val="false"/>
      <w:spacing w:lineRule="auto" w:line="240"/>
      <w:jc w:val="both"/>
      <w:outlineLvl w:val="9"/>
    </w:pPr>
    <w:rPr>
      <w:sz w:val="18"/>
    </w:rPr>
  </w:style>
  <w:style w:type="paragraph" w:customStyle="1" w:styleId="style4097">
    <w:name w:val="发文"/>
    <w:basedOn w:val="style0"/>
    <w:next w:val="style4097"/>
    <w:qFormat/>
    <w:uiPriority w:val="0"/>
    <w:pPr>
      <w:spacing w:lineRule="exact" w:line="560"/>
      <w:ind w:firstLine="640" w:firstLineChars="200"/>
    </w:pPr>
    <w:rPr>
      <w:rFonts w:ascii="仿宋" w:cs="仿宋" w:eastAsia="仿宋_GB2312" w:hAnsi="仿宋" w:hint="eastAsia"/>
      <w:sz w:val="32"/>
      <w:szCs w:val="32"/>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Words>921</Words>
  <Pages>2</Pages>
  <Characters>925</Characters>
  <Application>WPS Office</Application>
  <DocSecurity>0</DocSecurity>
  <Paragraphs>19</Paragraphs>
  <ScaleCrop>false</ScaleCrop>
  <LinksUpToDate>false</LinksUpToDate>
  <CharactersWithSpaces>931</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2025-10-24T02:47:00Z</dcterms:created>
  <dc:creator>Administrator</dc:creator>
  <lastModifiedBy>23127PN0CC</lastModifiedBy>
  <lastPrinted>2026-01-29T01:25:38Z</lastPrinted>
  <dcterms:modified xsi:type="dcterms:W3CDTF">2026-02-01T13:34:04Z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C1DAA451F7D84E9683D5A8D3FD94441E_13</vt:lpwstr>
  </property>
  <property fmtid="{D5CDD505-2E9C-101B-9397-08002B2CF9AE}" pid="4" name="KSOTemplateDocerSaveRecord">
    <vt:lpwstr>eyJoZGlkIjoiNmQ4MmYwNTVmNDliNGMwNWMyMTIwNGNmZmU4NTNmNDIiLCJ1c2VySWQiOiIzNzI0NTg4MDQifQ==</vt:lpwstr>
  </property>
</Properties>
</file>